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2” X 4 inch X 6 inch (50.8mm X 102mm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2” X 4 inch (50.8mm X 102mm) Link &amp; Lock HD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2” X 4 inch (50.8mm X 102mm)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3t3ponpc80fz"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2” X 4”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